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2F789" w14:textId="77777777" w:rsidR="004A1EC4" w:rsidRPr="00F41F8C" w:rsidRDefault="00DB6574">
      <w:pPr>
        <w:pStyle w:val="Titolo1"/>
        <w:spacing w:before="0" w:after="120" w:line="240" w:lineRule="auto"/>
        <w:rPr>
          <w:rFonts w:ascii="Times New Roman" w:hAnsi="Times New Roman"/>
          <w:noProof w:val="0"/>
        </w:rPr>
      </w:pPr>
      <w:r w:rsidRPr="00F41F8C">
        <w:rPr>
          <w:rFonts w:ascii="Times New Roman" w:hAnsi="Times New Roman"/>
          <w:noProof w:val="0"/>
        </w:rPr>
        <w:t>Advanced Animal Physiology</w:t>
      </w:r>
    </w:p>
    <w:p w14:paraId="5F0EFD23" w14:textId="77777777" w:rsidR="004A1EC4" w:rsidRPr="00F41F8C" w:rsidRDefault="00DB6574">
      <w:pPr>
        <w:pStyle w:val="Titolo2"/>
        <w:spacing w:after="120" w:line="240" w:lineRule="auto"/>
        <w:rPr>
          <w:rFonts w:ascii="Times New Roman" w:hAnsi="Times New Roman"/>
          <w:noProof w:val="0"/>
          <w:sz w:val="20"/>
        </w:rPr>
      </w:pPr>
      <w:r w:rsidRPr="00F41F8C">
        <w:rPr>
          <w:rFonts w:ascii="Times New Roman" w:hAnsi="Times New Roman"/>
          <w:noProof w:val="0"/>
          <w:sz w:val="20"/>
        </w:rPr>
        <w:t>Prof. Erminio Trevisi</w:t>
      </w:r>
    </w:p>
    <w:p w14:paraId="5D1214A9" w14:textId="77777777" w:rsidR="004A1EC4" w:rsidRPr="00F41F8C" w:rsidRDefault="004A1EC4">
      <w:pPr>
        <w:pStyle w:val="Titolo3"/>
        <w:spacing w:before="0" w:line="240" w:lineRule="auto"/>
        <w:rPr>
          <w:rFonts w:ascii="Times New Roman" w:hAnsi="Times New Roman"/>
          <w:noProof w:val="0"/>
          <w:sz w:val="20"/>
        </w:rPr>
      </w:pPr>
    </w:p>
    <w:p w14:paraId="19AF7548" w14:textId="77777777" w:rsidR="004A1EC4" w:rsidRPr="00F41F8C" w:rsidRDefault="00DB6574">
      <w:pPr>
        <w:spacing w:after="120" w:line="240" w:lineRule="auto"/>
        <w:rPr>
          <w:rFonts w:ascii="Times New Roman" w:hAnsi="Times New Roman"/>
          <w:b/>
        </w:rPr>
      </w:pPr>
      <w:r w:rsidRPr="00F41F8C">
        <w:rPr>
          <w:rFonts w:ascii="Times New Roman" w:hAnsi="Times New Roman"/>
          <w:b/>
          <w:i/>
        </w:rPr>
        <w:t>COURSE AIMS AND INTENDED LEARNING OUTCOMES</w:t>
      </w:r>
    </w:p>
    <w:p w14:paraId="7B33157B" w14:textId="77777777" w:rsidR="004A1EC4" w:rsidRPr="00F41F8C" w:rsidRDefault="00DB6574">
      <w:pPr>
        <w:spacing w:after="120" w:line="240" w:lineRule="auto"/>
        <w:rPr>
          <w:rFonts w:ascii="Times New Roman" w:hAnsi="Times New Roman"/>
        </w:rPr>
      </w:pPr>
      <w:r w:rsidRPr="00F41F8C">
        <w:rPr>
          <w:rFonts w:ascii="Times New Roman" w:hAnsi="Times New Roman"/>
        </w:rPr>
        <w:t>Further students' biochemical-physiological knowledge of the digestive processes, the metabolic use of nutrients, and the cellular regulation mechanisms that support productive and reproductive performance in farm animals. Examine the mechanisms related to nutritional errors that compromise the functioning of the main systems and trigger diseases (metabolic and/or infectious). Provide management criteria that can be used in preventing and/or treating metabolic diseases.</w:t>
      </w:r>
    </w:p>
    <w:p w14:paraId="71CC1714" w14:textId="77777777" w:rsidR="004A1EC4" w:rsidRPr="00F41F8C" w:rsidRDefault="00DB6574">
      <w:pPr>
        <w:spacing w:after="120" w:line="240" w:lineRule="auto"/>
        <w:rPr>
          <w:rFonts w:ascii="Times New Roman" w:hAnsi="Times New Roman"/>
        </w:rPr>
      </w:pPr>
      <w:r w:rsidRPr="00F41F8C">
        <w:rPr>
          <w:rFonts w:ascii="Times New Roman" w:hAnsi="Times New Roman"/>
        </w:rPr>
        <w:t>At the end of the course, students will be able to:</w:t>
      </w:r>
    </w:p>
    <w:p w14:paraId="3D9E3CCC" w14:textId="77777777" w:rsidR="004A1EC4" w:rsidRPr="00F41F8C" w:rsidRDefault="00DB6574">
      <w:pPr>
        <w:pStyle w:val="Paragrafoelenco"/>
        <w:numPr>
          <w:ilvl w:val="0"/>
          <w:numId w:val="2"/>
        </w:numPr>
        <w:tabs>
          <w:tab w:val="clear" w:pos="284"/>
          <w:tab w:val="left" w:pos="0"/>
        </w:tabs>
        <w:spacing w:after="120" w:line="240" w:lineRule="auto"/>
        <w:ind w:left="426" w:hanging="284"/>
        <w:rPr>
          <w:rFonts w:ascii="Times New Roman" w:hAnsi="Times New Roman"/>
        </w:rPr>
      </w:pPr>
      <w:r w:rsidRPr="00F41F8C">
        <w:rPr>
          <w:rFonts w:ascii="Times New Roman" w:hAnsi="Times New Roman"/>
        </w:rPr>
        <w:t xml:space="preserve">Understand the relationships between diet, digestive changes, immune response, absorbed nutrients and their metabolic </w:t>
      </w:r>
      <w:proofErr w:type="gramStart"/>
      <w:r w:rsidRPr="00F41F8C">
        <w:rPr>
          <w:rFonts w:ascii="Times New Roman" w:hAnsi="Times New Roman"/>
        </w:rPr>
        <w:t>use;</w:t>
      </w:r>
      <w:proofErr w:type="gramEnd"/>
    </w:p>
    <w:p w14:paraId="7A8F328D" w14:textId="77777777" w:rsidR="004A1EC4" w:rsidRPr="00F41F8C" w:rsidRDefault="00DB6574">
      <w:pPr>
        <w:pStyle w:val="Paragrafoelenco"/>
        <w:numPr>
          <w:ilvl w:val="0"/>
          <w:numId w:val="2"/>
        </w:numPr>
        <w:tabs>
          <w:tab w:val="clear" w:pos="284"/>
          <w:tab w:val="left" w:pos="0"/>
        </w:tabs>
        <w:spacing w:after="120" w:line="240" w:lineRule="auto"/>
        <w:ind w:left="426" w:hanging="284"/>
        <w:rPr>
          <w:rFonts w:ascii="Times New Roman" w:hAnsi="Times New Roman"/>
        </w:rPr>
      </w:pPr>
      <w:r w:rsidRPr="00F41F8C">
        <w:rPr>
          <w:rFonts w:ascii="Times New Roman" w:hAnsi="Times New Roman"/>
        </w:rPr>
        <w:t>Interpret the aforementioned relationships in relation to an animal's state of health and performance (growth, milk production, fertility</w:t>
      </w:r>
      <w:proofErr w:type="gramStart"/>
      <w:r w:rsidRPr="00F41F8C">
        <w:rPr>
          <w:rFonts w:ascii="Times New Roman" w:hAnsi="Times New Roman"/>
        </w:rPr>
        <w:t>);</w:t>
      </w:r>
      <w:proofErr w:type="gramEnd"/>
    </w:p>
    <w:p w14:paraId="62934042" w14:textId="77777777" w:rsidR="004A1EC4" w:rsidRPr="00F41F8C" w:rsidRDefault="00DB6574">
      <w:pPr>
        <w:pStyle w:val="Paragrafoelenco"/>
        <w:numPr>
          <w:ilvl w:val="0"/>
          <w:numId w:val="2"/>
        </w:numPr>
        <w:tabs>
          <w:tab w:val="clear" w:pos="284"/>
          <w:tab w:val="left" w:pos="0"/>
        </w:tabs>
        <w:spacing w:after="120" w:line="240" w:lineRule="auto"/>
        <w:ind w:left="426" w:hanging="284"/>
        <w:rPr>
          <w:rFonts w:ascii="Times New Roman" w:hAnsi="Times New Roman"/>
        </w:rPr>
      </w:pPr>
      <w:r w:rsidRPr="00F41F8C">
        <w:rPr>
          <w:rFonts w:ascii="Times New Roman" w:hAnsi="Times New Roman"/>
        </w:rPr>
        <w:t xml:space="preserve">Identify the food and management causes of the main metabolic diseases, in particular those connected to the digestive </w:t>
      </w:r>
      <w:proofErr w:type="gramStart"/>
      <w:r w:rsidRPr="00F41F8C">
        <w:rPr>
          <w:rFonts w:ascii="Times New Roman" w:hAnsi="Times New Roman"/>
        </w:rPr>
        <w:t>system;</w:t>
      </w:r>
      <w:proofErr w:type="gramEnd"/>
    </w:p>
    <w:p w14:paraId="461519B0" w14:textId="77777777" w:rsidR="004A1EC4" w:rsidRPr="00F41F8C" w:rsidRDefault="00DB6574">
      <w:pPr>
        <w:pStyle w:val="Paragrafoelenco"/>
        <w:numPr>
          <w:ilvl w:val="0"/>
          <w:numId w:val="2"/>
        </w:numPr>
        <w:tabs>
          <w:tab w:val="clear" w:pos="284"/>
          <w:tab w:val="left" w:pos="0"/>
        </w:tabs>
        <w:spacing w:after="120" w:line="240" w:lineRule="auto"/>
        <w:ind w:left="426" w:hanging="284"/>
        <w:rPr>
          <w:rFonts w:ascii="Times New Roman" w:hAnsi="Times New Roman"/>
        </w:rPr>
      </w:pPr>
      <w:r w:rsidRPr="00F41F8C">
        <w:rPr>
          <w:rFonts w:ascii="Times New Roman" w:hAnsi="Times New Roman"/>
        </w:rPr>
        <w:t xml:space="preserve">Recognise the presence of the aforementioned diseases through behavioural, physiological and qualitative changes in </w:t>
      </w:r>
      <w:proofErr w:type="gramStart"/>
      <w:r w:rsidRPr="00F41F8C">
        <w:rPr>
          <w:rFonts w:ascii="Times New Roman" w:hAnsi="Times New Roman"/>
        </w:rPr>
        <w:t>production;</w:t>
      </w:r>
      <w:proofErr w:type="gramEnd"/>
    </w:p>
    <w:p w14:paraId="32875C7D" w14:textId="77777777" w:rsidR="004A1EC4" w:rsidRPr="00F41F8C" w:rsidRDefault="00DB6574">
      <w:pPr>
        <w:pStyle w:val="Paragrafoelenco"/>
        <w:numPr>
          <w:ilvl w:val="0"/>
          <w:numId w:val="2"/>
        </w:numPr>
        <w:tabs>
          <w:tab w:val="clear" w:pos="284"/>
          <w:tab w:val="left" w:pos="0"/>
        </w:tabs>
        <w:spacing w:after="120" w:line="240" w:lineRule="auto"/>
        <w:ind w:left="426" w:hanging="284"/>
        <w:rPr>
          <w:rFonts w:ascii="Times New Roman" w:hAnsi="Times New Roman"/>
        </w:rPr>
      </w:pPr>
      <w:r w:rsidRPr="00F41F8C">
        <w:rPr>
          <w:rFonts w:ascii="Times New Roman" w:hAnsi="Times New Roman"/>
        </w:rPr>
        <w:t xml:space="preserve">Suggest diagnostic insights for the detection of subclinical </w:t>
      </w:r>
      <w:proofErr w:type="gramStart"/>
      <w:r w:rsidRPr="00F41F8C">
        <w:rPr>
          <w:rFonts w:ascii="Times New Roman" w:hAnsi="Times New Roman"/>
        </w:rPr>
        <w:t>cases;</w:t>
      </w:r>
      <w:proofErr w:type="gramEnd"/>
    </w:p>
    <w:p w14:paraId="0DF4024D" w14:textId="77777777" w:rsidR="004A1EC4" w:rsidRPr="00F41F8C" w:rsidRDefault="00DB6574">
      <w:pPr>
        <w:pStyle w:val="Paragrafoelenco"/>
        <w:numPr>
          <w:ilvl w:val="0"/>
          <w:numId w:val="2"/>
        </w:numPr>
        <w:tabs>
          <w:tab w:val="clear" w:pos="284"/>
          <w:tab w:val="left" w:pos="0"/>
        </w:tabs>
        <w:spacing w:after="120" w:line="240" w:lineRule="auto"/>
        <w:ind w:left="426" w:hanging="284"/>
        <w:rPr>
          <w:rFonts w:ascii="Times New Roman" w:hAnsi="Times New Roman"/>
        </w:rPr>
      </w:pPr>
      <w:r w:rsidRPr="00F41F8C">
        <w:rPr>
          <w:rFonts w:ascii="Times New Roman" w:hAnsi="Times New Roman"/>
        </w:rPr>
        <w:t>Indicate possible interventions to treat or prevent these diseases.</w:t>
      </w:r>
    </w:p>
    <w:p w14:paraId="6509041C" w14:textId="77777777" w:rsidR="004A1EC4" w:rsidRPr="00F41F8C" w:rsidRDefault="004A1EC4">
      <w:pPr>
        <w:spacing w:after="120" w:line="240" w:lineRule="auto"/>
        <w:rPr>
          <w:rFonts w:ascii="Times New Roman" w:hAnsi="Times New Roman"/>
        </w:rPr>
      </w:pPr>
    </w:p>
    <w:p w14:paraId="25EF9298" w14:textId="77777777" w:rsidR="004A1EC4" w:rsidRPr="00F41F8C" w:rsidRDefault="00DB6574">
      <w:pPr>
        <w:spacing w:after="120" w:line="240" w:lineRule="auto"/>
        <w:rPr>
          <w:rFonts w:ascii="Times New Roman" w:hAnsi="Times New Roman"/>
          <w:b/>
          <w:i/>
        </w:rPr>
      </w:pPr>
      <w:r w:rsidRPr="00F41F8C">
        <w:rPr>
          <w:rFonts w:ascii="Times New Roman" w:hAnsi="Times New Roman"/>
          <w:b/>
          <w:i/>
        </w:rPr>
        <w:t>COURSE CONTENT</w:t>
      </w:r>
    </w:p>
    <w:tbl>
      <w:tblPr>
        <w:tblpPr w:leftFromText="180" w:rightFromText="180" w:vertAnchor="text" w:horzAnchor="margin" w:tblpY="128"/>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5712"/>
        <w:gridCol w:w="968"/>
      </w:tblGrid>
      <w:tr w:rsidR="004A1EC4" w:rsidRPr="00F41F8C" w14:paraId="0843C606" w14:textId="77777777">
        <w:tc>
          <w:tcPr>
            <w:tcW w:w="5712" w:type="dxa"/>
            <w:shd w:val="clear" w:color="auto" w:fill="auto"/>
          </w:tcPr>
          <w:p w14:paraId="72D7A4B0" w14:textId="77777777" w:rsidR="004A1EC4" w:rsidRPr="00F41F8C" w:rsidRDefault="00DB6574">
            <w:pPr>
              <w:spacing w:line="240" w:lineRule="auto"/>
              <w:rPr>
                <w:rFonts w:ascii="Times New Roman" w:hAnsi="Times New Roman"/>
                <w:b/>
              </w:rPr>
            </w:pPr>
            <w:r w:rsidRPr="00F41F8C">
              <w:rPr>
                <w:rFonts w:ascii="Times New Roman" w:hAnsi="Times New Roman"/>
                <w:b/>
              </w:rPr>
              <w:t>Topics</w:t>
            </w:r>
          </w:p>
        </w:tc>
        <w:tc>
          <w:tcPr>
            <w:tcW w:w="968" w:type="dxa"/>
            <w:shd w:val="clear" w:color="auto" w:fill="auto"/>
          </w:tcPr>
          <w:p w14:paraId="55D5DB1D" w14:textId="77777777" w:rsidR="004A1EC4" w:rsidRPr="00F41F8C" w:rsidRDefault="00DB6574">
            <w:pPr>
              <w:spacing w:line="240" w:lineRule="auto"/>
              <w:jc w:val="center"/>
              <w:rPr>
                <w:rFonts w:ascii="Times New Roman" w:hAnsi="Times New Roman"/>
                <w:b/>
              </w:rPr>
            </w:pPr>
            <w:r w:rsidRPr="00F41F8C">
              <w:rPr>
                <w:rFonts w:ascii="Times New Roman" w:hAnsi="Times New Roman"/>
                <w:b/>
              </w:rPr>
              <w:t>ECTS</w:t>
            </w:r>
          </w:p>
        </w:tc>
      </w:tr>
      <w:tr w:rsidR="004A1EC4" w:rsidRPr="00F41F8C" w14:paraId="1D2E6F0D" w14:textId="77777777">
        <w:tc>
          <w:tcPr>
            <w:tcW w:w="5712" w:type="dxa"/>
            <w:shd w:val="clear" w:color="auto" w:fill="auto"/>
          </w:tcPr>
          <w:p w14:paraId="2B108988" w14:textId="77777777" w:rsidR="004A1EC4" w:rsidRPr="00F41F8C" w:rsidRDefault="00DB6574">
            <w:pPr>
              <w:spacing w:line="240" w:lineRule="auto"/>
              <w:rPr>
                <w:rFonts w:ascii="Times New Roman" w:hAnsi="Times New Roman"/>
              </w:rPr>
            </w:pPr>
            <w:r w:rsidRPr="00F41F8C">
              <w:rPr>
                <w:rFonts w:ascii="Times New Roman" w:hAnsi="Times New Roman"/>
              </w:rPr>
              <w:t>Introduction to the processes of cell function regulation: perception of external and internal stimuli; transmission of responses via the nervous and endocrine routes; nutrient distribution; regulation of gene expression. Introduction to System Biology.</w:t>
            </w:r>
          </w:p>
        </w:tc>
        <w:tc>
          <w:tcPr>
            <w:tcW w:w="968" w:type="dxa"/>
            <w:shd w:val="clear" w:color="auto" w:fill="auto"/>
            <w:vAlign w:val="center"/>
          </w:tcPr>
          <w:p w14:paraId="3478E679" w14:textId="77777777" w:rsidR="004A1EC4" w:rsidRPr="00F41F8C" w:rsidRDefault="00DB6574">
            <w:pPr>
              <w:spacing w:line="240" w:lineRule="auto"/>
              <w:jc w:val="center"/>
              <w:rPr>
                <w:rFonts w:ascii="Times New Roman" w:hAnsi="Times New Roman"/>
                <w:b/>
              </w:rPr>
            </w:pPr>
            <w:r w:rsidRPr="00F41F8C">
              <w:rPr>
                <w:rFonts w:ascii="Times New Roman" w:hAnsi="Times New Roman"/>
                <w:b/>
              </w:rPr>
              <w:t>1</w:t>
            </w:r>
          </w:p>
        </w:tc>
      </w:tr>
      <w:tr w:rsidR="004A1EC4" w:rsidRPr="00F41F8C" w14:paraId="4D757432" w14:textId="77777777">
        <w:tc>
          <w:tcPr>
            <w:tcW w:w="5712" w:type="dxa"/>
            <w:shd w:val="clear" w:color="auto" w:fill="auto"/>
          </w:tcPr>
          <w:p w14:paraId="1966F6F4" w14:textId="77777777" w:rsidR="004A1EC4" w:rsidRPr="00F41F8C" w:rsidRDefault="00DB6574">
            <w:pPr>
              <w:spacing w:line="240" w:lineRule="auto"/>
              <w:rPr>
                <w:rFonts w:ascii="Times New Roman" w:hAnsi="Times New Roman"/>
              </w:rPr>
            </w:pPr>
            <w:r w:rsidRPr="00F41F8C">
              <w:rPr>
                <w:rFonts w:ascii="Times New Roman" w:hAnsi="Times New Roman"/>
              </w:rPr>
              <w:t xml:space="preserve">Furthering students' anatomical and functional knowledge of the digestive system. Regulation of digestive processes (saliva, fermentation, nutrient degradation and absorption in the forestomach, gastric and intestinal digestion). Modulation of rumen fermentation processes. </w:t>
            </w:r>
          </w:p>
        </w:tc>
        <w:tc>
          <w:tcPr>
            <w:tcW w:w="968" w:type="dxa"/>
            <w:shd w:val="clear" w:color="auto" w:fill="auto"/>
            <w:vAlign w:val="center"/>
          </w:tcPr>
          <w:p w14:paraId="1E1CAF15" w14:textId="77777777" w:rsidR="004A1EC4" w:rsidRPr="00F41F8C" w:rsidRDefault="00DB6574">
            <w:pPr>
              <w:spacing w:line="240" w:lineRule="auto"/>
              <w:jc w:val="center"/>
              <w:rPr>
                <w:rFonts w:ascii="Times New Roman" w:hAnsi="Times New Roman"/>
                <w:b/>
              </w:rPr>
            </w:pPr>
            <w:r w:rsidRPr="00F41F8C">
              <w:rPr>
                <w:rFonts w:ascii="Times New Roman" w:hAnsi="Times New Roman"/>
                <w:b/>
              </w:rPr>
              <w:t>1</w:t>
            </w:r>
          </w:p>
        </w:tc>
      </w:tr>
      <w:tr w:rsidR="004A1EC4" w:rsidRPr="00F41F8C" w14:paraId="58604606" w14:textId="77777777">
        <w:tc>
          <w:tcPr>
            <w:tcW w:w="5712" w:type="dxa"/>
            <w:shd w:val="clear" w:color="auto" w:fill="auto"/>
          </w:tcPr>
          <w:p w14:paraId="2DF78B84" w14:textId="77777777" w:rsidR="004A1EC4" w:rsidRPr="00F41F8C" w:rsidRDefault="00DB6574">
            <w:pPr>
              <w:spacing w:line="240" w:lineRule="auto"/>
              <w:rPr>
                <w:rFonts w:ascii="Times New Roman" w:hAnsi="Times New Roman"/>
              </w:rPr>
            </w:pPr>
            <w:r w:rsidRPr="00F41F8C">
              <w:rPr>
                <w:rFonts w:ascii="Times New Roman" w:hAnsi="Times New Roman"/>
              </w:rPr>
              <w:t>Physiopathology of ruminant digestive processes (acidosis and subacidosis; alkalosis; meteorism). Systemic effects, causes and diagnosis.</w:t>
            </w:r>
          </w:p>
        </w:tc>
        <w:tc>
          <w:tcPr>
            <w:tcW w:w="968" w:type="dxa"/>
            <w:shd w:val="clear" w:color="auto" w:fill="auto"/>
            <w:vAlign w:val="center"/>
          </w:tcPr>
          <w:p w14:paraId="0CB00945" w14:textId="77777777" w:rsidR="004A1EC4" w:rsidRPr="00F41F8C" w:rsidRDefault="00DB6574">
            <w:pPr>
              <w:spacing w:line="240" w:lineRule="auto"/>
              <w:jc w:val="center"/>
              <w:rPr>
                <w:rFonts w:ascii="Times New Roman" w:hAnsi="Times New Roman"/>
                <w:b/>
              </w:rPr>
            </w:pPr>
            <w:r w:rsidRPr="00F41F8C">
              <w:rPr>
                <w:rFonts w:ascii="Times New Roman" w:hAnsi="Times New Roman"/>
                <w:b/>
              </w:rPr>
              <w:t>1</w:t>
            </w:r>
          </w:p>
        </w:tc>
      </w:tr>
      <w:tr w:rsidR="004A1EC4" w:rsidRPr="00F41F8C" w14:paraId="3EE89791" w14:textId="77777777">
        <w:tc>
          <w:tcPr>
            <w:tcW w:w="5712" w:type="dxa"/>
            <w:shd w:val="clear" w:color="auto" w:fill="auto"/>
          </w:tcPr>
          <w:p w14:paraId="006B4999" w14:textId="77777777" w:rsidR="004A1EC4" w:rsidRPr="00F41F8C" w:rsidRDefault="00DB6574">
            <w:pPr>
              <w:spacing w:line="240" w:lineRule="auto"/>
              <w:rPr>
                <w:rFonts w:ascii="Times New Roman" w:hAnsi="Times New Roman"/>
              </w:rPr>
            </w:pPr>
            <w:r w:rsidRPr="00F41F8C">
              <w:rPr>
                <w:rFonts w:ascii="Times New Roman" w:hAnsi="Times New Roman"/>
              </w:rPr>
              <w:t xml:space="preserve">Physiopathology of gastric diseases (dislocation of the abomasum, ulcers) and intestinal diseases (acidosis, alterations in epithelial permeability). </w:t>
            </w:r>
          </w:p>
        </w:tc>
        <w:tc>
          <w:tcPr>
            <w:tcW w:w="968" w:type="dxa"/>
            <w:shd w:val="clear" w:color="auto" w:fill="auto"/>
            <w:vAlign w:val="center"/>
          </w:tcPr>
          <w:p w14:paraId="2EF317E6" w14:textId="77777777" w:rsidR="004A1EC4" w:rsidRPr="00F41F8C" w:rsidRDefault="00DB6574">
            <w:pPr>
              <w:spacing w:line="240" w:lineRule="auto"/>
              <w:jc w:val="center"/>
              <w:rPr>
                <w:rFonts w:ascii="Times New Roman" w:hAnsi="Times New Roman"/>
                <w:b/>
              </w:rPr>
            </w:pPr>
            <w:r w:rsidRPr="00F41F8C">
              <w:rPr>
                <w:rFonts w:ascii="Times New Roman" w:hAnsi="Times New Roman"/>
                <w:b/>
              </w:rPr>
              <w:t>1</w:t>
            </w:r>
          </w:p>
        </w:tc>
      </w:tr>
      <w:tr w:rsidR="004A1EC4" w:rsidRPr="00F41F8C" w14:paraId="2140717F" w14:textId="77777777">
        <w:tc>
          <w:tcPr>
            <w:tcW w:w="5712" w:type="dxa"/>
            <w:shd w:val="clear" w:color="auto" w:fill="auto"/>
          </w:tcPr>
          <w:p w14:paraId="7C0B5FD0" w14:textId="77777777" w:rsidR="004A1EC4" w:rsidRPr="00F41F8C" w:rsidRDefault="00DB6574">
            <w:pPr>
              <w:spacing w:line="240" w:lineRule="auto"/>
              <w:rPr>
                <w:rFonts w:ascii="Times New Roman" w:hAnsi="Times New Roman"/>
              </w:rPr>
            </w:pPr>
            <w:r w:rsidRPr="00F41F8C">
              <w:rPr>
                <w:rFonts w:ascii="Times New Roman" w:hAnsi="Times New Roman"/>
              </w:rPr>
              <w:t xml:space="preserve">Liver and pancreas: functions and metabolic regulation of the availability of nutrients. </w:t>
            </w:r>
          </w:p>
          <w:p w14:paraId="5B67B7AE" w14:textId="77777777" w:rsidR="004A1EC4" w:rsidRPr="00F41F8C" w:rsidRDefault="00DB6574">
            <w:pPr>
              <w:spacing w:line="240" w:lineRule="auto"/>
              <w:rPr>
                <w:rFonts w:ascii="Times New Roman" w:hAnsi="Times New Roman"/>
              </w:rPr>
            </w:pPr>
            <w:r w:rsidRPr="00F41F8C">
              <w:rPr>
                <w:rFonts w:ascii="Times New Roman" w:hAnsi="Times New Roman"/>
              </w:rPr>
              <w:t xml:space="preserve">Endogenous and exogenous factors of appetite regulation. </w:t>
            </w:r>
          </w:p>
        </w:tc>
        <w:tc>
          <w:tcPr>
            <w:tcW w:w="968" w:type="dxa"/>
            <w:shd w:val="clear" w:color="auto" w:fill="auto"/>
            <w:vAlign w:val="center"/>
          </w:tcPr>
          <w:p w14:paraId="34FE77A3" w14:textId="77777777" w:rsidR="004A1EC4" w:rsidRPr="00F41F8C" w:rsidRDefault="00DB6574">
            <w:pPr>
              <w:spacing w:line="240" w:lineRule="auto"/>
              <w:jc w:val="center"/>
              <w:rPr>
                <w:rFonts w:ascii="Times New Roman" w:hAnsi="Times New Roman"/>
                <w:b/>
              </w:rPr>
            </w:pPr>
            <w:r w:rsidRPr="00F41F8C">
              <w:rPr>
                <w:rFonts w:ascii="Times New Roman" w:hAnsi="Times New Roman"/>
                <w:b/>
              </w:rPr>
              <w:t>1</w:t>
            </w:r>
          </w:p>
        </w:tc>
      </w:tr>
      <w:tr w:rsidR="004A1EC4" w:rsidRPr="00F41F8C" w14:paraId="62B3790F" w14:textId="77777777">
        <w:tc>
          <w:tcPr>
            <w:tcW w:w="5712" w:type="dxa"/>
            <w:shd w:val="clear" w:color="auto" w:fill="auto"/>
          </w:tcPr>
          <w:p w14:paraId="404EE157" w14:textId="77777777" w:rsidR="004A1EC4" w:rsidRPr="00F41F8C" w:rsidRDefault="00DB6574">
            <w:pPr>
              <w:spacing w:line="240" w:lineRule="auto"/>
              <w:rPr>
                <w:rFonts w:ascii="Times New Roman" w:hAnsi="Times New Roman"/>
              </w:rPr>
            </w:pPr>
            <w:r w:rsidRPr="00F41F8C">
              <w:rPr>
                <w:rFonts w:ascii="Times New Roman" w:hAnsi="Times New Roman"/>
              </w:rPr>
              <w:lastRenderedPageBreak/>
              <w:t>Blood. Innate and acquired immune system. Erythrocytes and the main plasma components.</w:t>
            </w:r>
          </w:p>
        </w:tc>
        <w:tc>
          <w:tcPr>
            <w:tcW w:w="968" w:type="dxa"/>
            <w:shd w:val="clear" w:color="auto" w:fill="auto"/>
            <w:vAlign w:val="center"/>
          </w:tcPr>
          <w:p w14:paraId="2D279608" w14:textId="77777777" w:rsidR="004A1EC4" w:rsidRPr="00F41F8C" w:rsidRDefault="00DB6574">
            <w:pPr>
              <w:spacing w:line="240" w:lineRule="auto"/>
              <w:jc w:val="center"/>
              <w:rPr>
                <w:rFonts w:ascii="Times New Roman" w:hAnsi="Times New Roman"/>
                <w:b/>
              </w:rPr>
            </w:pPr>
            <w:r w:rsidRPr="00F41F8C">
              <w:rPr>
                <w:rFonts w:ascii="Times New Roman" w:hAnsi="Times New Roman"/>
                <w:b/>
              </w:rPr>
              <w:t>1</w:t>
            </w:r>
          </w:p>
        </w:tc>
      </w:tr>
      <w:tr w:rsidR="004A1EC4" w:rsidRPr="00F41F8C" w14:paraId="74D4E28C" w14:textId="77777777">
        <w:tc>
          <w:tcPr>
            <w:tcW w:w="5712" w:type="dxa"/>
            <w:shd w:val="clear" w:color="auto" w:fill="auto"/>
          </w:tcPr>
          <w:p w14:paraId="1A383195" w14:textId="77777777" w:rsidR="004A1EC4" w:rsidRPr="00F41F8C" w:rsidRDefault="00DB6574">
            <w:pPr>
              <w:spacing w:line="240" w:lineRule="auto"/>
              <w:rPr>
                <w:rFonts w:ascii="Times New Roman" w:hAnsi="Times New Roman"/>
              </w:rPr>
            </w:pPr>
            <w:r w:rsidRPr="00F41F8C">
              <w:rPr>
                <w:rFonts w:ascii="Times New Roman" w:hAnsi="Times New Roman"/>
              </w:rPr>
              <w:t xml:space="preserve">Peripartum endocrine, </w:t>
            </w:r>
            <w:proofErr w:type="gramStart"/>
            <w:r w:rsidRPr="00F41F8C">
              <w:rPr>
                <w:rFonts w:ascii="Times New Roman" w:hAnsi="Times New Roman"/>
              </w:rPr>
              <w:t>immune</w:t>
            </w:r>
            <w:proofErr w:type="gramEnd"/>
            <w:r w:rsidRPr="00F41F8C">
              <w:rPr>
                <w:rFonts w:ascii="Times New Roman" w:hAnsi="Times New Roman"/>
              </w:rPr>
              <w:t xml:space="preserve"> and metabolic adaptations in nutritional status. Health, </w:t>
            </w:r>
            <w:proofErr w:type="gramStart"/>
            <w:r w:rsidRPr="00F41F8C">
              <w:rPr>
                <w:rFonts w:ascii="Times New Roman" w:hAnsi="Times New Roman"/>
              </w:rPr>
              <w:t>performance</w:t>
            </w:r>
            <w:proofErr w:type="gramEnd"/>
            <w:r w:rsidRPr="00F41F8C">
              <w:rPr>
                <w:rFonts w:ascii="Times New Roman" w:hAnsi="Times New Roman"/>
              </w:rPr>
              <w:t xml:space="preserve"> and well-being implications.</w:t>
            </w:r>
          </w:p>
          <w:p w14:paraId="78D2E1A4" w14:textId="77777777" w:rsidR="004A1EC4" w:rsidRPr="00F41F8C" w:rsidRDefault="00DB6574">
            <w:pPr>
              <w:spacing w:line="240" w:lineRule="auto"/>
              <w:rPr>
                <w:rFonts w:ascii="Times New Roman" w:hAnsi="Times New Roman"/>
              </w:rPr>
            </w:pPr>
            <w:r w:rsidRPr="00F41F8C">
              <w:rPr>
                <w:rFonts w:ascii="Times New Roman" w:hAnsi="Times New Roman"/>
              </w:rPr>
              <w:t xml:space="preserve">Description, causes, diagnosis, </w:t>
            </w:r>
            <w:proofErr w:type="gramStart"/>
            <w:r w:rsidRPr="00F41F8C">
              <w:rPr>
                <w:rFonts w:ascii="Times New Roman" w:hAnsi="Times New Roman"/>
              </w:rPr>
              <w:t>prevention</w:t>
            </w:r>
            <w:proofErr w:type="gramEnd"/>
            <w:r w:rsidRPr="00F41F8C">
              <w:rPr>
                <w:rFonts w:ascii="Times New Roman" w:hAnsi="Times New Roman"/>
              </w:rPr>
              <w:t xml:space="preserve"> and therapy of typical peripartum metabolic dysfunctions (placental retention, puerperal collapse, ketosis, abdominal dislocation).</w:t>
            </w:r>
          </w:p>
        </w:tc>
        <w:tc>
          <w:tcPr>
            <w:tcW w:w="968" w:type="dxa"/>
            <w:shd w:val="clear" w:color="auto" w:fill="auto"/>
            <w:vAlign w:val="center"/>
          </w:tcPr>
          <w:p w14:paraId="4D27397A" w14:textId="77777777" w:rsidR="004A1EC4" w:rsidRPr="00F41F8C" w:rsidRDefault="00DB6574">
            <w:pPr>
              <w:spacing w:line="240" w:lineRule="auto"/>
              <w:jc w:val="center"/>
              <w:rPr>
                <w:rFonts w:ascii="Times New Roman" w:hAnsi="Times New Roman"/>
                <w:b/>
              </w:rPr>
            </w:pPr>
            <w:r w:rsidRPr="00F41F8C">
              <w:rPr>
                <w:rFonts w:ascii="Times New Roman" w:hAnsi="Times New Roman"/>
                <w:b/>
              </w:rPr>
              <w:t>1</w:t>
            </w:r>
          </w:p>
        </w:tc>
      </w:tr>
      <w:tr w:rsidR="004A1EC4" w:rsidRPr="00F41F8C" w14:paraId="1E8DD5F7" w14:textId="77777777">
        <w:tc>
          <w:tcPr>
            <w:tcW w:w="5712" w:type="dxa"/>
            <w:shd w:val="clear" w:color="auto" w:fill="auto"/>
          </w:tcPr>
          <w:p w14:paraId="2603FDE9" w14:textId="77777777" w:rsidR="004A1EC4" w:rsidRPr="00F41F8C" w:rsidRDefault="00DB6574">
            <w:pPr>
              <w:spacing w:line="240" w:lineRule="auto"/>
              <w:rPr>
                <w:rFonts w:ascii="Times New Roman" w:hAnsi="Times New Roman"/>
              </w:rPr>
            </w:pPr>
            <w:r w:rsidRPr="00F41F8C">
              <w:rPr>
                <w:rFonts w:ascii="Times New Roman" w:hAnsi="Times New Roman"/>
              </w:rPr>
              <w:t>Relationship between nutrition and the onset of conditioned and metabolic diseases (</w:t>
            </w:r>
            <w:proofErr w:type="gramStart"/>
            <w:r w:rsidRPr="00F41F8C">
              <w:rPr>
                <w:rFonts w:ascii="Times New Roman" w:hAnsi="Times New Roman"/>
              </w:rPr>
              <w:t>e.g.</w:t>
            </w:r>
            <w:proofErr w:type="gramEnd"/>
            <w:r w:rsidRPr="00F41F8C">
              <w:rPr>
                <w:rFonts w:ascii="Times New Roman" w:hAnsi="Times New Roman"/>
              </w:rPr>
              <w:t xml:space="preserve"> mastitis, foot diseases, low fertility). Causes, physiological, health and productive consequences, diagnosis.</w:t>
            </w:r>
          </w:p>
        </w:tc>
        <w:tc>
          <w:tcPr>
            <w:tcW w:w="968" w:type="dxa"/>
            <w:shd w:val="clear" w:color="auto" w:fill="auto"/>
            <w:vAlign w:val="center"/>
          </w:tcPr>
          <w:p w14:paraId="0230A09A" w14:textId="77777777" w:rsidR="004A1EC4" w:rsidRPr="00F41F8C" w:rsidRDefault="00DB6574">
            <w:pPr>
              <w:spacing w:line="240" w:lineRule="auto"/>
              <w:jc w:val="center"/>
              <w:rPr>
                <w:rFonts w:ascii="Times New Roman" w:hAnsi="Times New Roman"/>
                <w:b/>
              </w:rPr>
            </w:pPr>
            <w:r w:rsidRPr="00F41F8C">
              <w:rPr>
                <w:rFonts w:ascii="Times New Roman" w:hAnsi="Times New Roman"/>
                <w:b/>
              </w:rPr>
              <w:t>1</w:t>
            </w:r>
          </w:p>
        </w:tc>
      </w:tr>
    </w:tbl>
    <w:p w14:paraId="42562A0B" w14:textId="77777777" w:rsidR="004A1EC4" w:rsidRPr="00F41F8C" w:rsidRDefault="004A1EC4">
      <w:pPr>
        <w:keepNext/>
        <w:spacing w:after="120" w:line="240" w:lineRule="auto"/>
        <w:rPr>
          <w:rFonts w:ascii="Times New Roman" w:hAnsi="Times New Roman"/>
          <w:b/>
          <w:i/>
        </w:rPr>
      </w:pPr>
    </w:p>
    <w:p w14:paraId="7E97B325" w14:textId="77777777" w:rsidR="004A1EC4" w:rsidRPr="00F41F8C" w:rsidRDefault="00DB6574">
      <w:pPr>
        <w:keepNext/>
        <w:spacing w:after="120" w:line="240" w:lineRule="auto"/>
        <w:rPr>
          <w:rFonts w:ascii="Times New Roman" w:hAnsi="Times New Roman"/>
          <w:b/>
        </w:rPr>
      </w:pPr>
      <w:r w:rsidRPr="00F41F8C">
        <w:rPr>
          <w:rFonts w:ascii="Times New Roman" w:hAnsi="Times New Roman"/>
          <w:b/>
          <w:i/>
        </w:rPr>
        <w:t>READING LIST</w:t>
      </w:r>
    </w:p>
    <w:p w14:paraId="1CC099C4" w14:textId="77777777" w:rsidR="004A1EC4" w:rsidRPr="00F41F8C" w:rsidRDefault="00DB6574">
      <w:pPr>
        <w:spacing w:after="120" w:line="240" w:lineRule="auto"/>
        <w:rPr>
          <w:rFonts w:ascii="Times New Roman" w:hAnsi="Times New Roman"/>
        </w:rPr>
      </w:pPr>
      <w:r w:rsidRPr="00F41F8C">
        <w:rPr>
          <w:rFonts w:ascii="Times New Roman" w:hAnsi="Times New Roman"/>
        </w:rPr>
        <w:t>Material posted on the dedicated website (Blackboard platform) relating to lectures and activities carried out in the workshops.</w:t>
      </w:r>
    </w:p>
    <w:p w14:paraId="23D7A97B" w14:textId="77777777" w:rsidR="004A1EC4" w:rsidRPr="00B375B4" w:rsidRDefault="00DB6574">
      <w:pPr>
        <w:spacing w:after="120" w:line="240" w:lineRule="auto"/>
        <w:rPr>
          <w:rFonts w:ascii="Times New Roman" w:hAnsi="Times New Roman"/>
          <w:lang w:val="it-IT"/>
        </w:rPr>
      </w:pPr>
      <w:r w:rsidRPr="00B375B4">
        <w:rPr>
          <w:rFonts w:ascii="Times New Roman" w:hAnsi="Times New Roman"/>
          <w:smallCaps/>
          <w:lang w:val="it-IT"/>
        </w:rPr>
        <w:t xml:space="preserve">R. Bortolami, E. Callegari, P. </w:t>
      </w:r>
      <w:proofErr w:type="spellStart"/>
      <w:r w:rsidRPr="00B375B4">
        <w:rPr>
          <w:rFonts w:ascii="Times New Roman" w:hAnsi="Times New Roman"/>
          <w:smallCaps/>
          <w:lang w:val="it-IT"/>
        </w:rPr>
        <w:t>Clavenzani</w:t>
      </w:r>
      <w:proofErr w:type="spellEnd"/>
      <w:r w:rsidRPr="00B375B4">
        <w:rPr>
          <w:rFonts w:ascii="Times New Roman" w:hAnsi="Times New Roman"/>
          <w:smallCaps/>
          <w:lang w:val="it-IT"/>
        </w:rPr>
        <w:t>, V. Beghelli</w:t>
      </w:r>
      <w:r w:rsidRPr="00B375B4">
        <w:rPr>
          <w:rFonts w:ascii="Times New Roman" w:hAnsi="Times New Roman"/>
          <w:lang w:val="it-IT"/>
        </w:rPr>
        <w:t xml:space="preserve">, </w:t>
      </w:r>
      <w:r w:rsidRPr="00B375B4">
        <w:rPr>
          <w:rFonts w:ascii="Times New Roman" w:hAnsi="Times New Roman"/>
          <w:i/>
          <w:lang w:val="it-IT"/>
        </w:rPr>
        <w:t>Anatomia e fisiologia degli animali domestici,</w:t>
      </w:r>
      <w:r w:rsidRPr="00B375B4">
        <w:rPr>
          <w:rFonts w:ascii="Times New Roman" w:hAnsi="Times New Roman"/>
          <w:lang w:val="it-IT"/>
        </w:rPr>
        <w:t xml:space="preserve"> </w:t>
      </w:r>
      <w:proofErr w:type="spellStart"/>
      <w:r w:rsidRPr="00B375B4">
        <w:rPr>
          <w:rFonts w:ascii="Times New Roman" w:hAnsi="Times New Roman"/>
          <w:lang w:val="it-IT"/>
        </w:rPr>
        <w:t>Edagricole</w:t>
      </w:r>
      <w:proofErr w:type="spellEnd"/>
      <w:r w:rsidRPr="00B375B4">
        <w:rPr>
          <w:rFonts w:ascii="Times New Roman" w:hAnsi="Times New Roman"/>
          <w:lang w:val="it-IT"/>
        </w:rPr>
        <w:t>, Bologna, 2009.</w:t>
      </w:r>
    </w:p>
    <w:p w14:paraId="238D8CC8" w14:textId="1BD53043" w:rsidR="004A1EC4" w:rsidRPr="00B375B4" w:rsidRDefault="00DB6574">
      <w:pPr>
        <w:spacing w:after="120" w:line="240" w:lineRule="auto"/>
        <w:rPr>
          <w:rFonts w:ascii="Times New Roman" w:hAnsi="Times New Roman"/>
          <w:lang w:val="it-IT"/>
        </w:rPr>
      </w:pPr>
      <w:r w:rsidRPr="00B375B4">
        <w:rPr>
          <w:rFonts w:ascii="Times New Roman" w:hAnsi="Times New Roman"/>
          <w:smallCaps/>
          <w:lang w:val="it-IT"/>
        </w:rPr>
        <w:t xml:space="preserve">A. Poli, E. Fabbri, C. Agnisola, G. Calamita, G. </w:t>
      </w:r>
      <w:proofErr w:type="spellStart"/>
      <w:r w:rsidRPr="00B375B4">
        <w:rPr>
          <w:rFonts w:ascii="Times New Roman" w:hAnsi="Times New Roman"/>
          <w:smallCaps/>
          <w:lang w:val="it-IT"/>
        </w:rPr>
        <w:t>Sansovito</w:t>
      </w:r>
      <w:proofErr w:type="spellEnd"/>
      <w:r w:rsidRPr="00B375B4">
        <w:rPr>
          <w:rFonts w:ascii="Times New Roman" w:hAnsi="Times New Roman"/>
          <w:smallCaps/>
          <w:lang w:val="it-IT"/>
        </w:rPr>
        <w:t>, T. Verri</w:t>
      </w:r>
      <w:r w:rsidRPr="00B375B4">
        <w:rPr>
          <w:rFonts w:ascii="Times New Roman" w:hAnsi="Times New Roman"/>
          <w:lang w:val="it-IT"/>
        </w:rPr>
        <w:t xml:space="preserve">, </w:t>
      </w:r>
      <w:r w:rsidRPr="00B375B4">
        <w:rPr>
          <w:rFonts w:ascii="Times New Roman" w:hAnsi="Times New Roman"/>
          <w:i/>
          <w:lang w:val="it-IT"/>
        </w:rPr>
        <w:t>Fisiologia Animale</w:t>
      </w:r>
      <w:r w:rsidRPr="00B375B4">
        <w:rPr>
          <w:rFonts w:ascii="Times New Roman" w:hAnsi="Times New Roman"/>
          <w:lang w:val="it-IT"/>
        </w:rPr>
        <w:t xml:space="preserve">. EdiSES, </w:t>
      </w:r>
      <w:proofErr w:type="spellStart"/>
      <w:r w:rsidRPr="00B375B4">
        <w:rPr>
          <w:rFonts w:ascii="Times New Roman" w:hAnsi="Times New Roman"/>
          <w:lang w:val="it-IT"/>
        </w:rPr>
        <w:t>Naples</w:t>
      </w:r>
      <w:proofErr w:type="spellEnd"/>
      <w:r w:rsidRPr="00B375B4">
        <w:rPr>
          <w:rFonts w:ascii="Times New Roman" w:hAnsi="Times New Roman"/>
          <w:lang w:val="it-IT"/>
        </w:rPr>
        <w:t>, 2018.</w:t>
      </w:r>
    </w:p>
    <w:p w14:paraId="46124930" w14:textId="77777777" w:rsidR="00B375B4" w:rsidRPr="00B375B4" w:rsidRDefault="00B375B4" w:rsidP="00B375B4">
      <w:pPr>
        <w:spacing w:after="120" w:line="240" w:lineRule="auto"/>
        <w:rPr>
          <w:rFonts w:ascii="Times New Roman" w:hAnsi="Times New Roman"/>
          <w:smallCaps/>
          <w:spacing w:val="-5"/>
          <w:lang w:val="it-IT"/>
        </w:rPr>
      </w:pPr>
      <w:r w:rsidRPr="00B375B4">
        <w:rPr>
          <w:rFonts w:ascii="Times New Roman" w:hAnsi="Times New Roman"/>
          <w:smallCaps/>
          <w:spacing w:val="-5"/>
          <w:lang w:val="it-IT"/>
        </w:rPr>
        <w:t xml:space="preserve">R. Ronchi, G. Savoini, M. Trabalza Marinucci, </w:t>
      </w:r>
      <w:r w:rsidRPr="00B375B4">
        <w:rPr>
          <w:rFonts w:ascii="Times New Roman" w:hAnsi="Times New Roman"/>
          <w:i/>
          <w:iCs/>
          <w:spacing w:val="-5"/>
          <w:lang w:val="it-IT"/>
        </w:rPr>
        <w:t>Manuale di Nutrizione dei Ruminanti da Latte</w:t>
      </w:r>
      <w:r w:rsidRPr="00B375B4">
        <w:rPr>
          <w:rFonts w:ascii="Times New Roman" w:hAnsi="Times New Roman"/>
          <w:spacing w:val="-5"/>
          <w:lang w:val="it-IT"/>
        </w:rPr>
        <w:t>.</w:t>
      </w:r>
      <w:r w:rsidRPr="00B375B4">
        <w:rPr>
          <w:rFonts w:ascii="Times New Roman" w:hAnsi="Times New Roman"/>
          <w:smallCaps/>
          <w:spacing w:val="-5"/>
          <w:lang w:val="it-IT"/>
        </w:rPr>
        <w:t xml:space="preserve"> </w:t>
      </w:r>
      <w:r w:rsidRPr="00B375B4">
        <w:rPr>
          <w:rFonts w:ascii="Times New Roman" w:hAnsi="Times New Roman"/>
          <w:spacing w:val="-5"/>
          <w:lang w:val="it-IT"/>
        </w:rPr>
        <w:t>EdiSES, Napoli, 2020.</w:t>
      </w:r>
    </w:p>
    <w:p w14:paraId="085E97DF" w14:textId="77777777" w:rsidR="004A1EC4" w:rsidRPr="00F41F8C" w:rsidRDefault="00DB6574">
      <w:pPr>
        <w:spacing w:after="120" w:line="240" w:lineRule="auto"/>
        <w:rPr>
          <w:rFonts w:ascii="Times New Roman" w:hAnsi="Times New Roman"/>
        </w:rPr>
      </w:pPr>
      <w:r w:rsidRPr="00B375B4">
        <w:rPr>
          <w:rFonts w:ascii="Times New Roman" w:hAnsi="Times New Roman"/>
          <w:smallCaps/>
          <w:lang w:val="it-IT"/>
        </w:rPr>
        <w:t xml:space="preserve">O.V. </w:t>
      </w:r>
      <w:proofErr w:type="spellStart"/>
      <w:r w:rsidRPr="00B375B4">
        <w:rPr>
          <w:rFonts w:ascii="Times New Roman" w:hAnsi="Times New Roman"/>
          <w:smallCaps/>
          <w:lang w:val="it-IT"/>
        </w:rPr>
        <w:t>Sjaastad</w:t>
      </w:r>
      <w:proofErr w:type="spellEnd"/>
      <w:r w:rsidRPr="00B375B4">
        <w:rPr>
          <w:rFonts w:ascii="Times New Roman" w:hAnsi="Times New Roman"/>
          <w:smallCaps/>
          <w:lang w:val="it-IT"/>
        </w:rPr>
        <w:t>, O. Sand, K. Hove</w:t>
      </w:r>
      <w:r w:rsidRPr="00B375B4">
        <w:rPr>
          <w:rFonts w:ascii="Times New Roman" w:hAnsi="Times New Roman"/>
          <w:lang w:val="it-IT"/>
        </w:rPr>
        <w:t xml:space="preserve">, </w:t>
      </w:r>
      <w:r w:rsidRPr="00B375B4">
        <w:rPr>
          <w:rFonts w:ascii="Times New Roman" w:hAnsi="Times New Roman"/>
          <w:i/>
          <w:lang w:val="it-IT"/>
        </w:rPr>
        <w:t>Fisiologia degli animali domestici</w:t>
      </w:r>
      <w:r w:rsidRPr="00B375B4">
        <w:rPr>
          <w:rFonts w:ascii="Times New Roman" w:hAnsi="Times New Roman"/>
          <w:lang w:val="it-IT"/>
        </w:rPr>
        <w:t xml:space="preserve">. </w:t>
      </w:r>
      <w:r w:rsidRPr="00F41F8C">
        <w:rPr>
          <w:rFonts w:ascii="Times New Roman" w:hAnsi="Times New Roman"/>
        </w:rPr>
        <w:t xml:space="preserve">Casa </w:t>
      </w:r>
      <w:proofErr w:type="spellStart"/>
      <w:r w:rsidRPr="00F41F8C">
        <w:rPr>
          <w:rFonts w:ascii="Times New Roman" w:hAnsi="Times New Roman"/>
        </w:rPr>
        <w:t>Editrice</w:t>
      </w:r>
      <w:proofErr w:type="spellEnd"/>
      <w:r w:rsidRPr="00F41F8C">
        <w:rPr>
          <w:rFonts w:ascii="Times New Roman" w:hAnsi="Times New Roman"/>
        </w:rPr>
        <w:t xml:space="preserve"> Ambrosiana, </w:t>
      </w:r>
      <w:proofErr w:type="spellStart"/>
      <w:r w:rsidRPr="00F41F8C">
        <w:rPr>
          <w:rFonts w:ascii="Times New Roman" w:hAnsi="Times New Roman"/>
        </w:rPr>
        <w:t>Rozzano</w:t>
      </w:r>
      <w:proofErr w:type="spellEnd"/>
      <w:r w:rsidRPr="00F41F8C">
        <w:rPr>
          <w:rFonts w:ascii="Times New Roman" w:hAnsi="Times New Roman"/>
        </w:rPr>
        <w:t xml:space="preserve"> (MI), 2013.</w:t>
      </w:r>
    </w:p>
    <w:p w14:paraId="2FF4F6DE" w14:textId="77777777" w:rsidR="004A1EC4" w:rsidRPr="00F41F8C" w:rsidRDefault="004A1EC4">
      <w:pPr>
        <w:spacing w:after="120" w:line="240" w:lineRule="auto"/>
        <w:rPr>
          <w:rFonts w:ascii="Times New Roman" w:hAnsi="Times New Roman"/>
        </w:rPr>
      </w:pPr>
    </w:p>
    <w:p w14:paraId="63AF669B" w14:textId="77777777" w:rsidR="004A1EC4" w:rsidRPr="00F41F8C" w:rsidRDefault="00DB6574">
      <w:pPr>
        <w:spacing w:after="120" w:line="240" w:lineRule="auto"/>
        <w:rPr>
          <w:rFonts w:ascii="Times New Roman" w:hAnsi="Times New Roman"/>
          <w:b/>
          <w:i/>
        </w:rPr>
      </w:pPr>
      <w:r w:rsidRPr="00F41F8C">
        <w:rPr>
          <w:rFonts w:ascii="Times New Roman" w:hAnsi="Times New Roman"/>
          <w:b/>
          <w:i/>
        </w:rPr>
        <w:t>TEACHING METHOD</w:t>
      </w:r>
    </w:p>
    <w:p w14:paraId="5B003ED8" w14:textId="77777777" w:rsidR="004A1EC4" w:rsidRPr="00F41F8C" w:rsidRDefault="00DB6574">
      <w:pPr>
        <w:pStyle w:val="Testo2"/>
        <w:spacing w:after="120" w:line="240" w:lineRule="auto"/>
        <w:ind w:left="284" w:hanging="284"/>
        <w:rPr>
          <w:rFonts w:ascii="Times New Roman" w:hAnsi="Times New Roman"/>
          <w:noProof w:val="0"/>
          <w:sz w:val="20"/>
        </w:rPr>
      </w:pPr>
      <w:r w:rsidRPr="00F41F8C">
        <w:rPr>
          <w:rFonts w:ascii="Times New Roman" w:hAnsi="Times New Roman"/>
          <w:noProof w:val="0"/>
          <w:sz w:val="20"/>
        </w:rPr>
        <w:t>1)</w:t>
      </w:r>
      <w:r w:rsidRPr="00F41F8C">
        <w:rPr>
          <w:rFonts w:ascii="Times New Roman" w:hAnsi="Times New Roman"/>
          <w:noProof w:val="0"/>
          <w:sz w:val="20"/>
        </w:rPr>
        <w:tab/>
        <w:t>Frontal lectures to present the key concepts of the subject, with the opportunity for widespread interaction. The lectures are accompanied by PowerPoint slides, which are subsequently made available to students on the Blackboard platform</w:t>
      </w:r>
      <w:r>
        <w:rPr>
          <w:rFonts w:ascii="Times New Roman" w:hAnsi="Times New Roman"/>
          <w:noProof w:val="0"/>
          <w:sz w:val="20"/>
        </w:rPr>
        <w:t>.</w:t>
      </w:r>
    </w:p>
    <w:p w14:paraId="3377CBF2" w14:textId="77777777" w:rsidR="004A1EC4" w:rsidRPr="00F41F8C" w:rsidRDefault="00DB6574">
      <w:pPr>
        <w:pStyle w:val="Testo2"/>
        <w:spacing w:after="120" w:line="240" w:lineRule="auto"/>
        <w:ind w:left="284" w:hanging="284"/>
        <w:rPr>
          <w:rFonts w:ascii="Times New Roman" w:hAnsi="Times New Roman"/>
          <w:noProof w:val="0"/>
          <w:sz w:val="20"/>
        </w:rPr>
      </w:pPr>
      <w:r w:rsidRPr="00F41F8C">
        <w:rPr>
          <w:rFonts w:ascii="Times New Roman" w:hAnsi="Times New Roman"/>
          <w:noProof w:val="0"/>
          <w:sz w:val="20"/>
        </w:rPr>
        <w:t>2) Practical lessons in the laboratory and/or stables, aimed at furthering students' knowledge of the main biological fluids used for diagnostic evaluations (rumen, blood, milk)</w:t>
      </w:r>
      <w:r>
        <w:rPr>
          <w:rFonts w:ascii="Times New Roman" w:hAnsi="Times New Roman"/>
          <w:noProof w:val="0"/>
          <w:sz w:val="20"/>
        </w:rPr>
        <w:t>.</w:t>
      </w:r>
    </w:p>
    <w:p w14:paraId="15D7D6D6" w14:textId="77777777" w:rsidR="004A1EC4" w:rsidRPr="00F41F8C" w:rsidRDefault="00DB6574">
      <w:pPr>
        <w:pStyle w:val="Testo2"/>
        <w:spacing w:after="120" w:line="240" w:lineRule="auto"/>
        <w:ind w:left="284" w:hanging="284"/>
        <w:rPr>
          <w:rFonts w:ascii="Times New Roman" w:hAnsi="Times New Roman"/>
          <w:noProof w:val="0"/>
          <w:sz w:val="20"/>
        </w:rPr>
      </w:pPr>
      <w:r w:rsidRPr="00F41F8C">
        <w:rPr>
          <w:rFonts w:ascii="Times New Roman" w:hAnsi="Times New Roman"/>
          <w:noProof w:val="0"/>
          <w:sz w:val="20"/>
        </w:rPr>
        <w:t>3)</w:t>
      </w:r>
      <w:r w:rsidRPr="00F41F8C">
        <w:rPr>
          <w:rFonts w:ascii="Times New Roman" w:hAnsi="Times New Roman"/>
          <w:noProof w:val="0"/>
          <w:sz w:val="20"/>
        </w:rPr>
        <w:tab/>
        <w:t>Seminars conducted by recognised experts on specific course topics</w:t>
      </w:r>
      <w:r>
        <w:rPr>
          <w:rFonts w:ascii="Times New Roman" w:hAnsi="Times New Roman"/>
          <w:noProof w:val="0"/>
          <w:sz w:val="20"/>
        </w:rPr>
        <w:t>.</w:t>
      </w:r>
    </w:p>
    <w:p w14:paraId="14599401" w14:textId="77777777" w:rsidR="004A1EC4" w:rsidRPr="00F41F8C" w:rsidRDefault="00DB6574">
      <w:pPr>
        <w:pStyle w:val="Testo2"/>
        <w:spacing w:after="120" w:line="240" w:lineRule="auto"/>
        <w:ind w:left="284" w:hanging="284"/>
        <w:rPr>
          <w:rFonts w:ascii="Times New Roman" w:hAnsi="Times New Roman"/>
          <w:noProof w:val="0"/>
          <w:sz w:val="20"/>
        </w:rPr>
      </w:pPr>
      <w:r w:rsidRPr="00F41F8C">
        <w:rPr>
          <w:rFonts w:ascii="Times New Roman" w:hAnsi="Times New Roman"/>
          <w:noProof w:val="0"/>
          <w:sz w:val="20"/>
        </w:rPr>
        <w:t>4)</w:t>
      </w:r>
      <w:r w:rsidRPr="00F41F8C">
        <w:rPr>
          <w:rFonts w:ascii="Times New Roman" w:hAnsi="Times New Roman"/>
          <w:noProof w:val="0"/>
          <w:sz w:val="20"/>
        </w:rPr>
        <w:tab/>
        <w:t>Short presentations by students on physiological topics of their particular interest, followed by a critical discussion</w:t>
      </w:r>
      <w:r>
        <w:rPr>
          <w:rFonts w:ascii="Times New Roman" w:hAnsi="Times New Roman"/>
          <w:noProof w:val="0"/>
          <w:sz w:val="20"/>
        </w:rPr>
        <w:t>.</w:t>
      </w:r>
    </w:p>
    <w:p w14:paraId="4B8FB00C" w14:textId="77777777" w:rsidR="004A1EC4" w:rsidRPr="00F41F8C" w:rsidRDefault="004A1EC4">
      <w:pPr>
        <w:spacing w:after="120" w:line="240" w:lineRule="auto"/>
        <w:rPr>
          <w:rFonts w:ascii="Times New Roman" w:hAnsi="Times New Roman"/>
          <w:b/>
          <w:i/>
        </w:rPr>
      </w:pPr>
    </w:p>
    <w:p w14:paraId="62619359" w14:textId="77777777" w:rsidR="004A1EC4" w:rsidRPr="00F41F8C" w:rsidRDefault="00DB6574">
      <w:pPr>
        <w:spacing w:after="120" w:line="240" w:lineRule="auto"/>
        <w:rPr>
          <w:rFonts w:ascii="Times New Roman" w:hAnsi="Times New Roman"/>
          <w:b/>
          <w:i/>
        </w:rPr>
      </w:pPr>
      <w:r w:rsidRPr="00F41F8C">
        <w:rPr>
          <w:rFonts w:ascii="Times New Roman" w:hAnsi="Times New Roman"/>
          <w:b/>
          <w:i/>
        </w:rPr>
        <w:t>ASSESSMENT METHOD AND CRITERIA</w:t>
      </w:r>
    </w:p>
    <w:p w14:paraId="545EB91D" w14:textId="3616920C" w:rsidR="004A1EC4" w:rsidRPr="00F41F8C" w:rsidRDefault="00596FC2">
      <w:pPr>
        <w:spacing w:after="120" w:line="240" w:lineRule="auto"/>
        <w:rPr>
          <w:rFonts w:ascii="Times New Roman" w:hAnsi="Times New Roman"/>
          <w:b/>
          <w:i/>
        </w:rPr>
      </w:pPr>
      <w:r w:rsidRPr="00596FC2">
        <w:rPr>
          <w:rFonts w:ascii="Times New Roman" w:hAnsi="Times New Roman"/>
        </w:rPr>
        <w:t xml:space="preserve">The exam is oral and takes place in 2 parts. A short presentation on an in-depth analysis of a topic covered in the course and agreed with the teacher (usually it will be carried out at the end of the course for all students) and an oral exam </w:t>
      </w:r>
      <w:r w:rsidR="00DB6574" w:rsidRPr="00F41F8C">
        <w:rPr>
          <w:rFonts w:ascii="Times New Roman" w:hAnsi="Times New Roman"/>
        </w:rPr>
        <w:t xml:space="preserve">comprising three questions on general topics, which will then give rise to furthermore specific </w:t>
      </w:r>
      <w:r w:rsidR="00DB6574" w:rsidRPr="00F41F8C">
        <w:rPr>
          <w:rFonts w:ascii="Times New Roman" w:hAnsi="Times New Roman"/>
        </w:rPr>
        <w:lastRenderedPageBreak/>
        <w:t xml:space="preserve">questions. </w:t>
      </w:r>
      <w:r w:rsidR="001B7239" w:rsidRPr="001B7239">
        <w:rPr>
          <w:rFonts w:ascii="Times New Roman" w:hAnsi="Times New Roman"/>
        </w:rPr>
        <w:t>The oral presentation allows to obtain up to 3 points out of 30.</w:t>
      </w:r>
      <w:r w:rsidR="00A53BF7">
        <w:rPr>
          <w:rFonts w:ascii="Times New Roman" w:hAnsi="Times New Roman"/>
        </w:rPr>
        <w:t xml:space="preserve"> </w:t>
      </w:r>
      <w:r w:rsidR="00DB6574" w:rsidRPr="00F41F8C">
        <w:rPr>
          <w:rFonts w:ascii="Times New Roman" w:hAnsi="Times New Roman"/>
        </w:rPr>
        <w:t xml:space="preserve">Each </w:t>
      </w:r>
      <w:r w:rsidR="00A53BF7">
        <w:rPr>
          <w:rFonts w:ascii="Times New Roman" w:hAnsi="Times New Roman"/>
        </w:rPr>
        <w:t xml:space="preserve">oral </w:t>
      </w:r>
      <w:r w:rsidR="00DB6574" w:rsidRPr="00F41F8C">
        <w:rPr>
          <w:rFonts w:ascii="Times New Roman" w:hAnsi="Times New Roman"/>
        </w:rPr>
        <w:t>question is assessed with a mark from 0 (no answer) to 1</w:t>
      </w:r>
      <w:r w:rsidR="00C743CD">
        <w:rPr>
          <w:rFonts w:ascii="Times New Roman" w:hAnsi="Times New Roman"/>
        </w:rPr>
        <w:t>0</w:t>
      </w:r>
      <w:r w:rsidR="00DB6574" w:rsidRPr="00F41F8C">
        <w:rPr>
          <w:rFonts w:ascii="Times New Roman" w:hAnsi="Times New Roman"/>
        </w:rPr>
        <w:t xml:space="preserve"> (exemplary answer). The mark is assigned </w:t>
      </w:r>
      <w:proofErr w:type="gramStart"/>
      <w:r w:rsidR="00DB6574" w:rsidRPr="00F41F8C">
        <w:rPr>
          <w:rFonts w:ascii="Times New Roman" w:hAnsi="Times New Roman"/>
        </w:rPr>
        <w:t>on the basis of</w:t>
      </w:r>
      <w:proofErr w:type="gramEnd"/>
      <w:r w:rsidR="00DB6574" w:rsidRPr="00F41F8C">
        <w:rPr>
          <w:rFonts w:ascii="Times New Roman" w:hAnsi="Times New Roman"/>
        </w:rPr>
        <w:t xml:space="preserve"> the following criteria: a) objective knowledge of the topics and mastery of the subjects; b) presentation clarity; c) ability to respond exhaustively to questions, linking different topics.</w:t>
      </w:r>
      <w:r w:rsidR="00377C73">
        <w:rPr>
          <w:rFonts w:ascii="Times New Roman" w:hAnsi="Times New Roman"/>
        </w:rPr>
        <w:t xml:space="preserve"> </w:t>
      </w:r>
      <w:bookmarkStart w:id="0" w:name="_Hlk102322596"/>
      <w:r w:rsidR="00377C73" w:rsidRPr="00377C73">
        <w:rPr>
          <w:rFonts w:ascii="Times New Roman" w:hAnsi="Times New Roman"/>
        </w:rPr>
        <w:t xml:space="preserve">The final grade is out of thirty, in case the overall value overcome 30 points, </w:t>
      </w:r>
      <w:proofErr w:type="spellStart"/>
      <w:r w:rsidR="00377C73" w:rsidRPr="00377C73">
        <w:rPr>
          <w:rFonts w:ascii="Times New Roman" w:hAnsi="Times New Roman"/>
        </w:rPr>
        <w:t>honors</w:t>
      </w:r>
      <w:proofErr w:type="spellEnd"/>
      <w:r w:rsidR="00377C73" w:rsidRPr="00377C73">
        <w:rPr>
          <w:rFonts w:ascii="Times New Roman" w:hAnsi="Times New Roman"/>
        </w:rPr>
        <w:t xml:space="preserve"> will be conferred.</w:t>
      </w:r>
      <w:bookmarkEnd w:id="0"/>
    </w:p>
    <w:p w14:paraId="50F06A12" w14:textId="77777777" w:rsidR="004A1EC4" w:rsidRPr="00F41F8C" w:rsidRDefault="004A1EC4">
      <w:pPr>
        <w:spacing w:after="120" w:line="240" w:lineRule="auto"/>
        <w:rPr>
          <w:rFonts w:ascii="Times New Roman" w:hAnsi="Times New Roman"/>
          <w:b/>
          <w:i/>
        </w:rPr>
      </w:pPr>
    </w:p>
    <w:p w14:paraId="32221AE4" w14:textId="77777777" w:rsidR="004A1EC4" w:rsidRPr="00F41F8C" w:rsidRDefault="00DB6574">
      <w:pPr>
        <w:spacing w:after="120" w:line="240" w:lineRule="auto"/>
        <w:rPr>
          <w:rFonts w:ascii="Times New Roman" w:hAnsi="Times New Roman"/>
          <w:b/>
          <w:i/>
        </w:rPr>
      </w:pPr>
      <w:r w:rsidRPr="00F41F8C">
        <w:rPr>
          <w:rFonts w:ascii="Times New Roman" w:hAnsi="Times New Roman"/>
          <w:b/>
          <w:i/>
        </w:rPr>
        <w:t>NOTES AND PREREQUISITES</w:t>
      </w:r>
    </w:p>
    <w:p w14:paraId="616E7B50" w14:textId="1976E9FA" w:rsidR="004A1EC4" w:rsidRPr="00F41F8C" w:rsidRDefault="00DB6574">
      <w:pPr>
        <w:pStyle w:val="Testo2"/>
        <w:spacing w:after="120" w:line="240" w:lineRule="auto"/>
        <w:ind w:firstLine="0"/>
        <w:rPr>
          <w:rFonts w:ascii="Times New Roman" w:hAnsi="Times New Roman"/>
          <w:noProof w:val="0"/>
          <w:sz w:val="20"/>
        </w:rPr>
      </w:pPr>
      <w:r w:rsidRPr="00F41F8C">
        <w:rPr>
          <w:rFonts w:ascii="Times New Roman" w:hAnsi="Times New Roman"/>
          <w:noProof w:val="0"/>
          <w:sz w:val="20"/>
        </w:rPr>
        <w:t xml:space="preserve">Students must possess a basic knowledge of anatomy, biology, </w:t>
      </w:r>
      <w:r w:rsidR="00D44AB2">
        <w:rPr>
          <w:rFonts w:ascii="Times New Roman" w:hAnsi="Times New Roman"/>
          <w:noProof w:val="0"/>
          <w:sz w:val="20"/>
        </w:rPr>
        <w:t xml:space="preserve">animal nutrition, </w:t>
      </w:r>
      <w:r w:rsidRPr="00F41F8C">
        <w:rPr>
          <w:rFonts w:ascii="Times New Roman" w:hAnsi="Times New Roman"/>
          <w:noProof w:val="0"/>
          <w:sz w:val="20"/>
        </w:rPr>
        <w:t xml:space="preserve">organic </w:t>
      </w:r>
      <w:proofErr w:type="gramStart"/>
      <w:r w:rsidRPr="00F41F8C">
        <w:rPr>
          <w:rFonts w:ascii="Times New Roman" w:hAnsi="Times New Roman"/>
          <w:noProof w:val="0"/>
          <w:sz w:val="20"/>
        </w:rPr>
        <w:t>chemistry</w:t>
      </w:r>
      <w:proofErr w:type="gramEnd"/>
      <w:r w:rsidRPr="00F41F8C">
        <w:rPr>
          <w:rFonts w:ascii="Times New Roman" w:hAnsi="Times New Roman"/>
          <w:noProof w:val="0"/>
          <w:sz w:val="20"/>
        </w:rPr>
        <w:t xml:space="preserve"> and biochemistry.</w:t>
      </w:r>
    </w:p>
    <w:p w14:paraId="667D87C6" w14:textId="77777777" w:rsidR="004A1EC4" w:rsidRPr="00F41F8C" w:rsidRDefault="00DB6574">
      <w:pPr>
        <w:spacing w:after="120" w:line="240" w:lineRule="auto"/>
        <w:rPr>
          <w:iCs/>
        </w:rPr>
      </w:pPr>
      <w:r w:rsidRPr="00F41F8C">
        <w:rPr>
          <w:iCs/>
        </w:rPr>
        <w:t>Should the health situation relating to the Covid-19 pandemic not allow face-to-face teaching, remote teaching in synchronous or asynchronous mode will be guaranteed; this will be communicated in good time to students.</w:t>
      </w:r>
    </w:p>
    <w:p w14:paraId="78CE9D5B" w14:textId="77777777" w:rsidR="004A1EC4" w:rsidRPr="00F41F8C" w:rsidRDefault="004A1EC4">
      <w:pPr>
        <w:pStyle w:val="Testo2"/>
        <w:spacing w:after="120" w:line="240" w:lineRule="auto"/>
        <w:ind w:firstLine="0"/>
        <w:rPr>
          <w:rFonts w:ascii="Times New Roman" w:hAnsi="Times New Roman"/>
          <w:noProof w:val="0"/>
          <w:sz w:val="20"/>
        </w:rPr>
      </w:pPr>
    </w:p>
    <w:p w14:paraId="29779183" w14:textId="77777777" w:rsidR="00F41F8C" w:rsidRPr="00D34D07" w:rsidRDefault="00F41F8C" w:rsidP="00F41F8C">
      <w:pPr>
        <w:spacing w:after="120" w:line="240" w:lineRule="auto"/>
        <w:rPr>
          <w:rFonts w:ascii="Times New Roman" w:hAnsi="Times New Roman"/>
          <w:bCs/>
          <w:iCs/>
        </w:rPr>
      </w:pPr>
      <w:r w:rsidRPr="00D34D07">
        <w:rPr>
          <w:rFonts w:ascii="Times New Roman" w:hAnsi="Times New Roman"/>
          <w:bCs/>
          <w:iCs/>
        </w:rPr>
        <w:t>Information on office hours available on the teacher's personal page at http://docenti.unicatt.it/.</w:t>
      </w:r>
    </w:p>
    <w:p w14:paraId="6B162654" w14:textId="77777777" w:rsidR="004A1EC4" w:rsidRPr="00F41F8C" w:rsidRDefault="004A1EC4">
      <w:pPr>
        <w:pStyle w:val="Testo2"/>
        <w:spacing w:after="120" w:line="240" w:lineRule="auto"/>
        <w:rPr>
          <w:rFonts w:ascii="Times New Roman" w:hAnsi="Times New Roman"/>
          <w:noProof w:val="0"/>
          <w:sz w:val="20"/>
        </w:rPr>
      </w:pPr>
    </w:p>
    <w:sectPr w:rsidR="004A1EC4" w:rsidRPr="00F41F8C">
      <w:pgSz w:w="11906" w:h="16838" w:code="9"/>
      <w:pgMar w:top="2367"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랊䜱"/>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F5927"/>
    <w:multiLevelType w:val="hybridMultilevel"/>
    <w:tmpl w:val="C02CD206"/>
    <w:lvl w:ilvl="0" w:tplc="64DA732C">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0546134"/>
    <w:multiLevelType w:val="hybridMultilevel"/>
    <w:tmpl w:val="2D465F78"/>
    <w:lvl w:ilvl="0" w:tplc="D03049E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687319586">
    <w:abstractNumId w:val="1"/>
  </w:num>
  <w:num w:numId="2" w16cid:durableId="1907491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AE6"/>
    <w:rsid w:val="00006883"/>
    <w:rsid w:val="000849D0"/>
    <w:rsid w:val="00095C9B"/>
    <w:rsid w:val="00130CEF"/>
    <w:rsid w:val="0014534A"/>
    <w:rsid w:val="00155049"/>
    <w:rsid w:val="001B5439"/>
    <w:rsid w:val="001B7239"/>
    <w:rsid w:val="001C33FD"/>
    <w:rsid w:val="001E285F"/>
    <w:rsid w:val="002056A8"/>
    <w:rsid w:val="00210918"/>
    <w:rsid w:val="00261945"/>
    <w:rsid w:val="00274282"/>
    <w:rsid w:val="002939B3"/>
    <w:rsid w:val="002B09C2"/>
    <w:rsid w:val="002D1566"/>
    <w:rsid w:val="0036026A"/>
    <w:rsid w:val="00362AE6"/>
    <w:rsid w:val="00377C73"/>
    <w:rsid w:val="003A2C1E"/>
    <w:rsid w:val="003F44CF"/>
    <w:rsid w:val="00451525"/>
    <w:rsid w:val="004529D5"/>
    <w:rsid w:val="00467AC8"/>
    <w:rsid w:val="004A1EC4"/>
    <w:rsid w:val="004E0CE2"/>
    <w:rsid w:val="004E390D"/>
    <w:rsid w:val="004F56D8"/>
    <w:rsid w:val="0052074F"/>
    <w:rsid w:val="00596FC2"/>
    <w:rsid w:val="005C5C03"/>
    <w:rsid w:val="00627B9E"/>
    <w:rsid w:val="006637DF"/>
    <w:rsid w:val="00686260"/>
    <w:rsid w:val="006E62C9"/>
    <w:rsid w:val="006F0B94"/>
    <w:rsid w:val="006F536F"/>
    <w:rsid w:val="0074120F"/>
    <w:rsid w:val="00754D80"/>
    <w:rsid w:val="00772307"/>
    <w:rsid w:val="0079489B"/>
    <w:rsid w:val="007A5B41"/>
    <w:rsid w:val="00823B8C"/>
    <w:rsid w:val="00837069"/>
    <w:rsid w:val="008A4A1C"/>
    <w:rsid w:val="008C493D"/>
    <w:rsid w:val="008C5FC2"/>
    <w:rsid w:val="008C69BE"/>
    <w:rsid w:val="008E243B"/>
    <w:rsid w:val="008F1B20"/>
    <w:rsid w:val="00941878"/>
    <w:rsid w:val="009829A1"/>
    <w:rsid w:val="00A0208A"/>
    <w:rsid w:val="00A07A48"/>
    <w:rsid w:val="00A3235E"/>
    <w:rsid w:val="00A34F6C"/>
    <w:rsid w:val="00A438E8"/>
    <w:rsid w:val="00A53BF7"/>
    <w:rsid w:val="00A73993"/>
    <w:rsid w:val="00A771F3"/>
    <w:rsid w:val="00A85001"/>
    <w:rsid w:val="00AF058C"/>
    <w:rsid w:val="00B375B4"/>
    <w:rsid w:val="00BA3424"/>
    <w:rsid w:val="00BD6D5B"/>
    <w:rsid w:val="00C71671"/>
    <w:rsid w:val="00C743CD"/>
    <w:rsid w:val="00CB040F"/>
    <w:rsid w:val="00D44AB2"/>
    <w:rsid w:val="00D53E29"/>
    <w:rsid w:val="00D62FE8"/>
    <w:rsid w:val="00D7791A"/>
    <w:rsid w:val="00DB6574"/>
    <w:rsid w:val="00E35FEA"/>
    <w:rsid w:val="00E3658B"/>
    <w:rsid w:val="00E62F5E"/>
    <w:rsid w:val="00E8497E"/>
    <w:rsid w:val="00EE7216"/>
    <w:rsid w:val="00F27A60"/>
    <w:rsid w:val="00F32833"/>
    <w:rsid w:val="00F346C0"/>
    <w:rsid w:val="00F41F8C"/>
    <w:rsid w:val="00F55796"/>
    <w:rsid w:val="00FC4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1EC75"/>
  <w15:docId w15:val="{6BABDD07-0320-4262-952E-5524B116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85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Rimandocommento">
    <w:name w:val="annotation reference"/>
    <w:basedOn w:val="Carpredefinitoparagrafo"/>
    <w:rsid w:val="00D7791A"/>
    <w:rPr>
      <w:sz w:val="16"/>
      <w:szCs w:val="16"/>
    </w:rPr>
  </w:style>
  <w:style w:type="paragraph" w:styleId="Testocommento">
    <w:name w:val="annotation text"/>
    <w:basedOn w:val="Normale"/>
    <w:link w:val="TestocommentoCarattere"/>
    <w:rsid w:val="00D7791A"/>
    <w:pPr>
      <w:spacing w:line="240" w:lineRule="auto"/>
    </w:pPr>
  </w:style>
  <w:style w:type="character" w:customStyle="1" w:styleId="TestocommentoCarattere">
    <w:name w:val="Testo commento Carattere"/>
    <w:basedOn w:val="Carpredefinitoparagrafo"/>
    <w:link w:val="Testocommento"/>
    <w:rsid w:val="00D7791A"/>
    <w:rPr>
      <w:rFonts w:ascii="Times" w:hAnsi="Times"/>
    </w:rPr>
  </w:style>
  <w:style w:type="paragraph" w:styleId="Soggettocommento">
    <w:name w:val="annotation subject"/>
    <w:basedOn w:val="Testocommento"/>
    <w:next w:val="Testocommento"/>
    <w:link w:val="SoggettocommentoCarattere"/>
    <w:rsid w:val="00D7791A"/>
    <w:rPr>
      <w:b/>
      <w:bCs/>
    </w:rPr>
  </w:style>
  <w:style w:type="character" w:customStyle="1" w:styleId="SoggettocommentoCarattere">
    <w:name w:val="Soggetto commento Carattere"/>
    <w:basedOn w:val="TestocommentoCarattere"/>
    <w:link w:val="Soggettocommento"/>
    <w:rsid w:val="00D7791A"/>
    <w:rPr>
      <w:rFonts w:ascii="Times" w:hAnsi="Times"/>
      <w:b/>
      <w:bCs/>
    </w:rPr>
  </w:style>
  <w:style w:type="paragraph" w:styleId="Testofumetto">
    <w:name w:val="Balloon Text"/>
    <w:basedOn w:val="Normale"/>
    <w:link w:val="TestofumettoCarattere"/>
    <w:rsid w:val="00D7791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D7791A"/>
    <w:rPr>
      <w:rFonts w:ascii="Tahoma" w:hAnsi="Tahoma" w:cs="Tahoma"/>
      <w:sz w:val="16"/>
      <w:szCs w:val="16"/>
    </w:rPr>
  </w:style>
  <w:style w:type="paragraph" w:styleId="Paragrafoelenco">
    <w:name w:val="List Paragraph"/>
    <w:basedOn w:val="Normale"/>
    <w:uiPriority w:val="34"/>
    <w:qFormat/>
    <w:rsid w:val="00772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BE271-A81B-42C4-97DB-71B4B67C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3</Pages>
  <Words>814</Words>
  <Characters>4644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reviewer</cp:lastModifiedBy>
  <cp:revision>2</cp:revision>
  <cp:lastPrinted>2019-04-19T14:58:00Z</cp:lastPrinted>
  <dcterms:created xsi:type="dcterms:W3CDTF">2022-05-01T16:57:00Z</dcterms:created>
  <dcterms:modified xsi:type="dcterms:W3CDTF">2022-05-01T16:57:00Z</dcterms:modified>
</cp:coreProperties>
</file>